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CC16CA">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CC16CA">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CC16CA">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CC16CA"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CC16CA">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CC16CA">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CC16CA">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CC16CA">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7D06AB46"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CC16CA">
            <w:rPr>
              <w:rFonts w:ascii="Verdana" w:eastAsia="Verdana" w:hAnsi="Verdana"/>
              <w:b/>
              <w:noProof/>
              <w:color w:val="FF5200"/>
              <w:sz w:val="12"/>
              <w:szCs w:val="12"/>
            </w:rPr>
            <w:t>13</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CC16C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23E26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14BC53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260867A9"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CC16C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CC16C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16CA"/>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54B7BCAE-3E2D-4DA4-9C92-9D26F1D7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11108</Words>
  <Characters>65541</Characters>
  <Application>Microsoft Office Word</Application>
  <DocSecurity>4</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2020-11-12T11:55:00Z</dcterms:created>
  <dcterms:modified xsi:type="dcterms:W3CDTF">2020-11-12T11:55:00Z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